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72" w:rsidRDefault="00073FEC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B73272" w:rsidRDefault="00073FEC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>ПО ДИСЦИПЛИНЕ</w:t>
      </w:r>
      <w:r w:rsidR="00B73272">
        <w:rPr>
          <w:rFonts w:ascii="Times New Roman" w:hAnsi="Times New Roman" w:cs="Times New Roman"/>
          <w:sz w:val="28"/>
          <w:szCs w:val="28"/>
        </w:rPr>
        <w:t xml:space="preserve"> «СТОМАТОЛОГИЯ»</w:t>
      </w:r>
    </w:p>
    <w:p w:rsidR="00531FD8" w:rsidRDefault="00B73272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МОДУЛЬ </w:t>
      </w:r>
      <w:r w:rsidR="00073FEC"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073FEC">
        <w:rPr>
          <w:rFonts w:ascii="Times New Roman" w:eastAsia="Times New Roman" w:hAnsi="Times New Roman" w:cs="Times New Roman"/>
          <w:b/>
          <w:bCs/>
          <w:sz w:val="28"/>
          <w:szCs w:val="28"/>
        </w:rPr>
        <w:t>ГНАТОЛОГИЯ И ФУНКЦИОНАЛЬНАЯ ДИАГНОСТИКА ВНЧ</w:t>
      </w:r>
      <w:r w:rsidR="00073FEC" w:rsidRPr="00073F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73FEC">
        <w:rPr>
          <w:rFonts w:ascii="Times New Roman" w:eastAsia="Times New Roman" w:hAnsi="Times New Roman" w:cs="Times New Roman"/>
          <w:b/>
          <w:bCs/>
          <w:sz w:val="28"/>
          <w:szCs w:val="28"/>
        </w:rPr>
        <w:t>СУСТАВА</w:t>
      </w:r>
      <w:r w:rsidR="00073FEC"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073FEC" w:rsidRPr="00DE7305" w:rsidRDefault="00073FEC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3F78" w:rsidRPr="00E93F78" w:rsidRDefault="00531FD8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F78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6C5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F78">
        <w:rPr>
          <w:rFonts w:ascii="Times New Roman" w:hAnsi="Times New Roman"/>
          <w:sz w:val="24"/>
          <w:szCs w:val="24"/>
        </w:rPr>
        <w:t>31.05.03</w:t>
      </w:r>
      <w:r w:rsidR="006C5142" w:rsidRPr="006C5142">
        <w:rPr>
          <w:rFonts w:ascii="Times New Roman" w:hAnsi="Times New Roman"/>
          <w:sz w:val="24"/>
          <w:szCs w:val="24"/>
        </w:rPr>
        <w:t xml:space="preserve"> </w:t>
      </w:r>
      <w:r w:rsidR="006C5142">
        <w:rPr>
          <w:rFonts w:ascii="Times New Roman" w:hAnsi="Times New Roman"/>
          <w:sz w:val="24"/>
          <w:szCs w:val="24"/>
        </w:rPr>
        <w:t>«</w:t>
      </w:r>
      <w:r w:rsidR="00E93F78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E93F78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E93F78">
        <w:rPr>
          <w:rFonts w:ascii="Times New Roman" w:hAnsi="Times New Roman" w:cs="Times New Roman"/>
          <w:sz w:val="24"/>
          <w:szCs w:val="24"/>
        </w:rPr>
        <w:t>)</w:t>
      </w:r>
      <w:r w:rsidR="00073FEC" w:rsidRPr="00073FEC">
        <w:rPr>
          <w:rFonts w:ascii="Times New Roman" w:hAnsi="Times New Roman" w:cs="Times New Roman"/>
          <w:sz w:val="24"/>
          <w:szCs w:val="24"/>
        </w:rPr>
        <w:t xml:space="preserve"> </w:t>
      </w:r>
      <w:r w:rsidR="00073FEC">
        <w:rPr>
          <w:rFonts w:ascii="Times New Roman" w:hAnsi="Times New Roman" w:cs="Times New Roman"/>
          <w:sz w:val="24"/>
          <w:szCs w:val="24"/>
        </w:rPr>
        <w:t>»</w:t>
      </w:r>
    </w:p>
    <w:p w:rsidR="008A4EC8" w:rsidRPr="00E93F78" w:rsidRDefault="00531FD8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F78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7327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E93F78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E93F78">
        <w:rPr>
          <w:rFonts w:ascii="Times New Roman" w:hAnsi="Times New Roman" w:cs="Times New Roman"/>
          <w:sz w:val="24"/>
          <w:szCs w:val="24"/>
        </w:rPr>
        <w:t xml:space="preserve"> – </w:t>
      </w:r>
      <w:r w:rsidR="00B73272">
        <w:rPr>
          <w:rFonts w:ascii="Times New Roman" w:hAnsi="Times New Roman" w:cs="Times New Roman"/>
          <w:sz w:val="24"/>
          <w:szCs w:val="24"/>
        </w:rPr>
        <w:t>модуль явл</w:t>
      </w:r>
      <w:r w:rsidR="00B73272">
        <w:rPr>
          <w:rFonts w:ascii="Times New Roman" w:hAnsi="Times New Roman" w:cs="Times New Roman"/>
          <w:sz w:val="24"/>
          <w:szCs w:val="24"/>
        </w:rPr>
        <w:t>я</w:t>
      </w:r>
      <w:r w:rsidR="00B73272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="00B73272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73272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B73272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</w:t>
      </w:r>
      <w:r w:rsidR="00B73272" w:rsidRPr="00DE7305">
        <w:rPr>
          <w:rFonts w:ascii="Times New Roman" w:hAnsi="Times New Roman" w:cs="Times New Roman"/>
          <w:sz w:val="24"/>
          <w:szCs w:val="24"/>
        </w:rPr>
        <w:t>ь</w:t>
      </w:r>
      <w:r w:rsidR="00B73272" w:rsidRPr="00DE7305">
        <w:rPr>
          <w:rFonts w:ascii="Times New Roman" w:hAnsi="Times New Roman" w:cs="Times New Roman"/>
          <w:sz w:val="24"/>
          <w:szCs w:val="24"/>
        </w:rPr>
        <w:t>ного цикла</w:t>
      </w:r>
      <w:r w:rsidR="00B73272">
        <w:rPr>
          <w:rFonts w:ascii="Times New Roman" w:hAnsi="Times New Roman" w:cs="Times New Roman"/>
          <w:sz w:val="24"/>
          <w:szCs w:val="24"/>
        </w:rPr>
        <w:t xml:space="preserve"> С.3</w:t>
      </w:r>
      <w:r w:rsidR="00B73272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B73272">
        <w:rPr>
          <w:rFonts w:ascii="Times New Roman" w:hAnsi="Times New Roman" w:cs="Times New Roman"/>
          <w:sz w:val="24"/>
          <w:szCs w:val="24"/>
        </w:rPr>
        <w:t>Модуль</w:t>
      </w:r>
      <w:r w:rsidR="007E44BF" w:rsidRPr="00E93F78">
        <w:rPr>
          <w:rFonts w:ascii="Times New Roman" w:hAnsi="Times New Roman" w:cs="Times New Roman"/>
          <w:sz w:val="24"/>
          <w:szCs w:val="24"/>
        </w:rPr>
        <w:t xml:space="preserve"> изучается на </w:t>
      </w:r>
      <w:r w:rsidR="00073FEC" w:rsidRPr="00B73272">
        <w:rPr>
          <w:rFonts w:ascii="Times New Roman" w:hAnsi="Times New Roman" w:cs="Times New Roman"/>
          <w:sz w:val="24"/>
          <w:szCs w:val="24"/>
        </w:rPr>
        <w:t xml:space="preserve"> </w:t>
      </w:r>
      <w:r w:rsidR="00073FEC">
        <w:rPr>
          <w:rFonts w:ascii="Times New Roman" w:hAnsi="Times New Roman" w:cs="Times New Roman"/>
          <w:sz w:val="24"/>
          <w:szCs w:val="24"/>
        </w:rPr>
        <w:t xml:space="preserve"> </w:t>
      </w:r>
      <w:r w:rsidR="00073FE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73FEC" w:rsidRPr="00B73272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E93F78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073FEC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D20271" w:rsidRPr="00E93F78">
        <w:rPr>
          <w:rFonts w:ascii="Times New Roman" w:hAnsi="Times New Roman" w:cs="Times New Roman"/>
          <w:sz w:val="24"/>
          <w:szCs w:val="24"/>
        </w:rPr>
        <w:t>-</w:t>
      </w:r>
      <w:r w:rsidR="00073FE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E44BF" w:rsidRPr="00E93F7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606423" w:rsidRPr="00E93F78">
        <w:rPr>
          <w:rFonts w:ascii="Times New Roman" w:hAnsi="Times New Roman" w:cs="Times New Roman"/>
          <w:sz w:val="24"/>
          <w:szCs w:val="24"/>
        </w:rPr>
        <w:t>ы</w:t>
      </w:r>
    </w:p>
    <w:p w:rsidR="00D20271" w:rsidRPr="00D20271" w:rsidRDefault="00986831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0271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B7327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20271">
        <w:rPr>
          <w:rFonts w:ascii="Times New Roman" w:hAnsi="Times New Roman" w:cs="Times New Roman"/>
          <w:sz w:val="24"/>
          <w:szCs w:val="24"/>
        </w:rPr>
        <w:t xml:space="preserve">: </w:t>
      </w:r>
      <w:r w:rsidR="00D20271" w:rsidRPr="00D202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подготовка врача стоматолога, </w:t>
      </w:r>
      <w:r w:rsidR="00D20271" w:rsidRPr="00D202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en-US"/>
        </w:rPr>
        <w:t xml:space="preserve">способного оказать ортопедическую стоматологическую помощь с учетом функционального взаимодействия компонентов жевательной системы (зубы, периодонт, височно-нижнечелюстные суставы, жевательные мышцы и нервная система). </w:t>
      </w:r>
    </w:p>
    <w:p w:rsidR="00881E75" w:rsidRDefault="00531FD8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0271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B7327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20271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20271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D20271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2027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"/>
        <w:gridCol w:w="1161"/>
        <w:gridCol w:w="7979"/>
      </w:tblGrid>
      <w:tr w:rsidR="00E93F78" w:rsidTr="00E93F78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E93F78" w:rsidTr="00E93F78">
        <w:trPr>
          <w:trHeight w:val="48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78" w:rsidRDefault="00E93F78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реализовать этические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деонтологические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принципы в профессиональной деятельности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 готовностью анализировать результаты собственной деятельности для предотвращения профессиональных ошибок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также направленных на устранение вредного влияния на здоровье человека факторов среды его обитания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стоматологического заболевания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 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определению тактики ведения больных с различными стоматологическими заболеваниями(</w:t>
            </w:r>
            <w:proofErr w:type="gramEnd"/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и лечению пациентов со стоматологическими заболеваниями в амбулаторных условиях и условиях дневного стационара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просветительской деятельности по устранению факторов риска и формированию навыков здорового образа жизни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E93F78" w:rsidTr="00E93F7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78" w:rsidRDefault="00E93F78" w:rsidP="00E93F78">
            <w:pPr>
              <w:widowControl w:val="0"/>
              <w:numPr>
                <w:ilvl w:val="0"/>
                <w:numId w:val="6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78" w:rsidRDefault="00E93F78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анализу и публичному представлению медицинской информации на основе доказательной медицины</w:t>
            </w:r>
          </w:p>
        </w:tc>
      </w:tr>
    </w:tbl>
    <w:p w:rsidR="00E93F78" w:rsidRDefault="00E93F78" w:rsidP="00606423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4CE8" w:rsidRDefault="00531FD8" w:rsidP="00073FEC">
      <w:pPr>
        <w:pStyle w:val="a3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Знать</w:t>
      </w:r>
      <w:r w:rsidRPr="00490C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теоретические основы биомеханики зубочелюстной системы в норме и патологии;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методы обследования, диагностики и ортопедического лечения больных с патологией окклюзии зубных рядов;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принципы диагностики и ортопедического лечения больных с функциональной патологией ВНЧС;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основы врачебной этики и деонтологии при лечении больных с функциональной патологией ВНЧС и дефектами и деформациями зубных рядов.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Уметь</w:t>
      </w:r>
      <w:r w:rsidRPr="00490C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обследовать пациента;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анализировать результаты основных и дополнительных методов обследования пациентов с функциональной патологией ВНЧС и дефектами и деформациями зубных рядов;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ставит диагноз;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планировать ортопедический этап комплексного лечения больных: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- с патологией окклюзии зубных рядов,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        - с дефектами и деформациями зубов и зубных рядов,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- с функциональной патологией ВНЧС;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пользоваться учебной, научной, научно-популярной литературой, сетью Интернет для профессиональной деятельности.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Владеть</w:t>
      </w:r>
      <w:r w:rsidRPr="00490C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методами клинического стоматологического обследования больных: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- с патологией окклюзии зубных рядов,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- с дефектами и деформациями зубных рядов,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- с функциональной патологией ВНЧС;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интерпретацией результатов основных и дополнительных методов обследования пациентов с патологией окклюзии зубных рядов;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метами проведения стоматологических ортопедических мероприятий у пациентов с патологией окклюзии зубных рядов и ВНЧС;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методами ведения диспансерного и динамического наблюдения за пациентами, получившими ортопедическое стоматологическое лечение;</w:t>
      </w:r>
    </w:p>
    <w:p w:rsidR="00490CED" w:rsidRPr="00490CED" w:rsidRDefault="00490CED" w:rsidP="00073F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0CED">
        <w:rPr>
          <w:rFonts w:ascii="Times New Roman" w:eastAsia="Times New Roman" w:hAnsi="Times New Roman" w:cs="Times New Roman"/>
          <w:sz w:val="24"/>
          <w:szCs w:val="24"/>
          <w:lang w:eastAsia="en-US"/>
        </w:rPr>
        <w:t>- оформление необходимой документации, с учетом сопутствующих заболеваний и патологических процессов у стоматологического больного.</w:t>
      </w:r>
    </w:p>
    <w:p w:rsidR="00531FD8" w:rsidRPr="00DE7305" w:rsidRDefault="008A4EC8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B73272">
        <w:rPr>
          <w:rFonts w:ascii="Times New Roman" w:hAnsi="Times New Roman" w:cs="Times New Roman"/>
          <w:b/>
          <w:sz w:val="24"/>
          <w:szCs w:val="24"/>
        </w:rPr>
        <w:t>модуля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3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5B04E4">
        <w:rPr>
          <w:rFonts w:ascii="Times New Roman" w:hAnsi="Times New Roman" w:cs="Times New Roman"/>
          <w:sz w:val="24"/>
          <w:szCs w:val="24"/>
        </w:rPr>
        <w:t>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5B04E4">
        <w:rPr>
          <w:rFonts w:ascii="Times New Roman" w:hAnsi="Times New Roman" w:cs="Times New Roman"/>
          <w:sz w:val="24"/>
          <w:szCs w:val="24"/>
        </w:rPr>
        <w:t>ы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5B04E4">
        <w:rPr>
          <w:rFonts w:ascii="Times New Roman" w:hAnsi="Times New Roman" w:cs="Times New Roman"/>
          <w:sz w:val="24"/>
          <w:szCs w:val="24"/>
        </w:rPr>
        <w:t>108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5B04E4">
        <w:rPr>
          <w:rFonts w:ascii="Times New Roman" w:hAnsi="Times New Roman" w:cs="Times New Roman"/>
          <w:sz w:val="24"/>
          <w:szCs w:val="24"/>
        </w:rPr>
        <w:t>20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5B04E4">
        <w:rPr>
          <w:rFonts w:ascii="Times New Roman" w:hAnsi="Times New Roman" w:cs="Times New Roman"/>
          <w:sz w:val="24"/>
          <w:szCs w:val="24"/>
        </w:rPr>
        <w:t>52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5B04E4">
        <w:rPr>
          <w:rFonts w:ascii="Times New Roman" w:hAnsi="Times New Roman" w:cs="Times New Roman"/>
          <w:sz w:val="24"/>
          <w:szCs w:val="24"/>
        </w:rPr>
        <w:t>36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экзамен</w:t>
      </w:r>
      <w:r w:rsidR="005B04E4">
        <w:rPr>
          <w:rFonts w:ascii="Times New Roman" w:hAnsi="Times New Roman" w:cs="Times New Roman"/>
          <w:sz w:val="24"/>
          <w:szCs w:val="24"/>
        </w:rPr>
        <w:t>а нет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1FD8" w:rsidRPr="00DE7305" w:rsidRDefault="00531FD8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671271">
        <w:rPr>
          <w:rFonts w:ascii="Times New Roman" w:hAnsi="Times New Roman" w:cs="Times New Roman"/>
          <w:sz w:val="24"/>
          <w:szCs w:val="24"/>
        </w:rPr>
        <w:t>Текущий и итоговый тестовый контроль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073FE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073FEC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tbl>
      <w:tblPr>
        <w:tblW w:w="9454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559"/>
        <w:gridCol w:w="2800"/>
        <w:gridCol w:w="6095"/>
      </w:tblGrid>
      <w:tr w:rsidR="00FA7231" w:rsidRPr="00FA7231" w:rsidTr="00FA7231">
        <w:tc>
          <w:tcPr>
            <w:tcW w:w="55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</w:tcBorders>
            <w:vAlign w:val="center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00" w:type="dxa"/>
            <w:tcBorders>
              <w:top w:val="double" w:sz="2" w:space="0" w:color="auto"/>
              <w:bottom w:val="double" w:sz="2" w:space="0" w:color="auto"/>
            </w:tcBorders>
            <w:vAlign w:val="center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6095" w:type="dxa"/>
            <w:tcBorders>
              <w:top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раздела в дидактических единицах (темы разделов)</w:t>
            </w:r>
          </w:p>
        </w:tc>
      </w:tr>
      <w:tr w:rsidR="00FA7231" w:rsidRPr="00FA7231" w:rsidTr="00FA7231">
        <w:tc>
          <w:tcPr>
            <w:tcW w:w="559" w:type="dxa"/>
            <w:vAlign w:val="center"/>
          </w:tcPr>
          <w:p w:rsidR="00FA7231" w:rsidRPr="00FA7231" w:rsidRDefault="00FA7231" w:rsidP="00FA7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vAlign w:val="center"/>
          </w:tcPr>
          <w:p w:rsidR="00FA7231" w:rsidRPr="00FA7231" w:rsidRDefault="00487511" w:rsidP="00487511">
            <w:pPr>
              <w:tabs>
                <w:tab w:val="num" w:pos="6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FA7231" w:rsidRPr="00FA7231" w:rsidRDefault="00487511" w:rsidP="00FA7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7231" w:rsidRPr="00FA7231" w:rsidTr="00FA7231">
        <w:tc>
          <w:tcPr>
            <w:tcW w:w="559" w:type="dxa"/>
          </w:tcPr>
          <w:p w:rsidR="00FA7231" w:rsidRPr="00FA7231" w:rsidRDefault="00FA7231" w:rsidP="00FA7231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A7231" w:rsidRPr="00FA7231" w:rsidRDefault="00FA7231" w:rsidP="00FA7231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Гнатология как наука. Основные понятия. Биомеханика жевательного аппарата</w:t>
            </w:r>
          </w:p>
        </w:tc>
        <w:tc>
          <w:tcPr>
            <w:tcW w:w="6095" w:type="dxa"/>
          </w:tcPr>
          <w:p w:rsidR="00FA7231" w:rsidRPr="00FA7231" w:rsidRDefault="00FA7231" w:rsidP="00FA7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Гнатология как научно-практическое направление в ортопедической стоматологии. Основы терминологии. Морфофункциональные элементы зубочелюстной системы, их взаимосвязь. Биомеханика жевательного аппарата. Аппараты, воспроизводящие движения нижней челюсти.</w:t>
            </w:r>
          </w:p>
        </w:tc>
      </w:tr>
      <w:tr w:rsidR="00FA7231" w:rsidRPr="00FA7231" w:rsidTr="00FA7231">
        <w:tc>
          <w:tcPr>
            <w:tcW w:w="559" w:type="dxa"/>
          </w:tcPr>
          <w:p w:rsidR="00FA7231" w:rsidRPr="00FA7231" w:rsidRDefault="00FA7231" w:rsidP="00FA7231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A7231" w:rsidRPr="00FA7231" w:rsidRDefault="00FA7231" w:rsidP="00FA7231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FA7231">
              <w:rPr>
                <w:rFonts w:ascii="TimesET" w:eastAsia="Times New Roman" w:hAnsi="TimesET" w:cs="TimesET"/>
                <w:sz w:val="24"/>
                <w:szCs w:val="24"/>
              </w:rPr>
              <w:t>Методы обследования зубочелюстной системы</w:t>
            </w:r>
          </w:p>
        </w:tc>
        <w:tc>
          <w:tcPr>
            <w:tcW w:w="6095" w:type="dxa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обследования зубочелюстной-системы, включая ВНЧС и жевательные мышцы. Диагностика функциональных нарушений при осложненных формах дефектов зубных рядов. Аппаратурная диагностика функциональных нарушений при осложненных формах дефектов зубных рядов.</w:t>
            </w:r>
          </w:p>
        </w:tc>
      </w:tr>
      <w:tr w:rsidR="00FA7231" w:rsidRPr="00FA7231" w:rsidTr="00FA7231">
        <w:tc>
          <w:tcPr>
            <w:tcW w:w="559" w:type="dxa"/>
          </w:tcPr>
          <w:p w:rsidR="00FA7231" w:rsidRPr="00FA7231" w:rsidRDefault="00FA7231" w:rsidP="00FA7231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A7231" w:rsidRPr="00FA7231" w:rsidRDefault="00FA7231" w:rsidP="00FA7231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FA7231">
              <w:rPr>
                <w:rFonts w:ascii="TimesET" w:eastAsia="Times New Roman" w:hAnsi="TimesET" w:cs="TimesET"/>
                <w:sz w:val="24"/>
                <w:szCs w:val="24"/>
              </w:rPr>
              <w:t xml:space="preserve">Вторичные деформации, этиология, патогенез, классификации, клиника методы ортопедического </w:t>
            </w:r>
            <w:r w:rsidRPr="00FA7231">
              <w:rPr>
                <w:rFonts w:ascii="TimesET" w:eastAsia="Times New Roman" w:hAnsi="TimesET" w:cs="TimesET"/>
                <w:sz w:val="24"/>
                <w:szCs w:val="24"/>
              </w:rPr>
              <w:lastRenderedPageBreak/>
              <w:t>лечения</w:t>
            </w:r>
          </w:p>
        </w:tc>
        <w:tc>
          <w:tcPr>
            <w:tcW w:w="6095" w:type="dxa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Дефекты зубных рядов, осложненные вторичными деформациями. Этиология, патогенез, диагностика, классификации, клиника, методы лечения. Частичное вторичное отсутствие зубов, осложненное повышенной </w:t>
            </w:r>
            <w:proofErr w:type="spellStart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стираемостью</w:t>
            </w:r>
            <w:proofErr w:type="spellEnd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твердых тканей зубов, вторичными деформациями зубных рядов. Дистальный сдвиг нижней челюсти, этиология, патогенез, диагностика, клиника и лечение.</w:t>
            </w:r>
          </w:p>
        </w:tc>
      </w:tr>
      <w:tr w:rsidR="00FA7231" w:rsidRPr="00FA7231" w:rsidTr="00FA7231">
        <w:tc>
          <w:tcPr>
            <w:tcW w:w="559" w:type="dxa"/>
          </w:tcPr>
          <w:p w:rsidR="00FA7231" w:rsidRPr="00FA7231" w:rsidRDefault="00FA7231" w:rsidP="00FA7231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A7231" w:rsidRPr="00FA7231" w:rsidRDefault="00FA7231" w:rsidP="00FA7231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FA7231">
              <w:rPr>
                <w:rFonts w:ascii="TimesET" w:eastAsia="Times New Roman" w:hAnsi="TimesET" w:cs="TimesET"/>
                <w:sz w:val="24"/>
                <w:szCs w:val="24"/>
              </w:rPr>
              <w:t>Функциональная перегрузка тканей пародонта.</w:t>
            </w:r>
          </w:p>
        </w:tc>
        <w:tc>
          <w:tcPr>
            <w:tcW w:w="6095" w:type="dxa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Функциональная перегрузка тканей пародонта. Причины функциональной перегрузки тканей пародонта. Травматическая окклюзия. Прямой и отраженный травматические узлы. Морфофункциональные изменения в тканях пародонта при его функциональной перегрузке.  Вторичные деформации зубных рядов при пародонтите. Диагностика функционального состояния пародонта. Ортопедическое лечение.</w:t>
            </w:r>
          </w:p>
        </w:tc>
      </w:tr>
      <w:tr w:rsidR="00FA7231" w:rsidRPr="00FA7231" w:rsidTr="00FA7231">
        <w:tc>
          <w:tcPr>
            <w:tcW w:w="559" w:type="dxa"/>
          </w:tcPr>
          <w:p w:rsidR="00FA7231" w:rsidRPr="00FA7231" w:rsidRDefault="00FA7231" w:rsidP="00FA7231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A7231" w:rsidRPr="00FA7231" w:rsidRDefault="00FA7231" w:rsidP="00FA7231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ВНЧС, этиология, патогенез, клиника, ортопедическое лечение.</w:t>
            </w:r>
          </w:p>
        </w:tc>
        <w:tc>
          <w:tcPr>
            <w:tcW w:w="6095" w:type="dxa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Заболевания ВНЧС, классификация. Окклюзионно-артикуляционный синдром, этиология, патогенез, диагностика, дифференциальная диагностика, клиника, консультации врачей смежных специальностей. Ортопедические методы лечения.Нейромышечный синдром, этиология, патогенез, диагностика, дифференциальная диагностика, клиника, консультации врачей смежных специальностей. Ортопедические методы </w:t>
            </w:r>
            <w:proofErr w:type="spellStart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лечения.Вывихи</w:t>
            </w:r>
            <w:proofErr w:type="spellEnd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гипермобильность</w:t>
            </w:r>
            <w:proofErr w:type="spellEnd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головок ВНЧС, этиология, патогенез, диагностика, дифференциальная диагностика, клиника, консультации врачей смежных специальностей. Ортопедические методы лечения.Моделирование зубных протезов в индивидуально настроенном артикуляторе. Понятие об </w:t>
            </w:r>
            <w:proofErr w:type="spellStart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>окклюзионном</w:t>
            </w:r>
            <w:proofErr w:type="spellEnd"/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компасе. Формирование физиологичных окклюзионных контактов при изготовлении зубных протезов с учетом биомеханики зубочелюстной системы и состояния ВНЧС.</w:t>
            </w:r>
          </w:p>
        </w:tc>
      </w:tr>
      <w:tr w:rsidR="00FA7231" w:rsidRPr="00FA7231" w:rsidTr="00FA7231">
        <w:tc>
          <w:tcPr>
            <w:tcW w:w="559" w:type="dxa"/>
          </w:tcPr>
          <w:p w:rsidR="00FA7231" w:rsidRPr="00FA7231" w:rsidRDefault="00FA7231" w:rsidP="00FA7231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A7231" w:rsidRPr="00FA7231" w:rsidRDefault="00FA7231" w:rsidP="00FA7231">
            <w:pPr>
              <w:tabs>
                <w:tab w:val="num" w:pos="643"/>
              </w:tabs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</w:rPr>
            </w:pPr>
            <w:r w:rsidRPr="00FA7231">
              <w:rPr>
                <w:rFonts w:ascii="TimesET" w:eastAsia="Times New Roman" w:hAnsi="TimesET" w:cs="TimesET"/>
                <w:sz w:val="24"/>
                <w:szCs w:val="24"/>
              </w:rPr>
              <w:t>Дефекты зубных рядов и аномалии прикуса</w:t>
            </w:r>
          </w:p>
        </w:tc>
        <w:tc>
          <w:tcPr>
            <w:tcW w:w="6095" w:type="dxa"/>
          </w:tcPr>
          <w:p w:rsidR="00FA7231" w:rsidRPr="00FA7231" w:rsidRDefault="00FA7231" w:rsidP="00FA72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2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Ортопедическое лечение пациентов с дефектами зубных рядов и аномалиями прикуса. Особенности конструирования протезов.</w:t>
            </w:r>
          </w:p>
        </w:tc>
      </w:tr>
    </w:tbl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73FEC"/>
    <w:rsid w:val="000A139B"/>
    <w:rsid w:val="0011062B"/>
    <w:rsid w:val="0016561B"/>
    <w:rsid w:val="001749B8"/>
    <w:rsid w:val="0025793B"/>
    <w:rsid w:val="00344E70"/>
    <w:rsid w:val="00356302"/>
    <w:rsid w:val="00391ADD"/>
    <w:rsid w:val="00441638"/>
    <w:rsid w:val="00487511"/>
    <w:rsid w:val="00490CED"/>
    <w:rsid w:val="004D4297"/>
    <w:rsid w:val="005270FA"/>
    <w:rsid w:val="00531FD8"/>
    <w:rsid w:val="00553A9F"/>
    <w:rsid w:val="005602C2"/>
    <w:rsid w:val="00577FC1"/>
    <w:rsid w:val="005B04E4"/>
    <w:rsid w:val="005B6053"/>
    <w:rsid w:val="005D702D"/>
    <w:rsid w:val="00606423"/>
    <w:rsid w:val="00634E09"/>
    <w:rsid w:val="006427FD"/>
    <w:rsid w:val="00671271"/>
    <w:rsid w:val="00697AC1"/>
    <w:rsid w:val="006C5142"/>
    <w:rsid w:val="006D0E50"/>
    <w:rsid w:val="006F600D"/>
    <w:rsid w:val="007E44BF"/>
    <w:rsid w:val="00843590"/>
    <w:rsid w:val="00881E75"/>
    <w:rsid w:val="008A4EC8"/>
    <w:rsid w:val="00986831"/>
    <w:rsid w:val="009E0D62"/>
    <w:rsid w:val="009E76C5"/>
    <w:rsid w:val="00A47D10"/>
    <w:rsid w:val="00B42868"/>
    <w:rsid w:val="00B73272"/>
    <w:rsid w:val="00BF5251"/>
    <w:rsid w:val="00D20271"/>
    <w:rsid w:val="00DC4CE8"/>
    <w:rsid w:val="00DE7305"/>
    <w:rsid w:val="00E333B9"/>
    <w:rsid w:val="00E4113F"/>
    <w:rsid w:val="00E87A0A"/>
    <w:rsid w:val="00E93F78"/>
    <w:rsid w:val="00EC7017"/>
    <w:rsid w:val="00F42F3D"/>
    <w:rsid w:val="00F65A0A"/>
    <w:rsid w:val="00F7572E"/>
    <w:rsid w:val="00FA7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26</cp:revision>
  <cp:lastPrinted>2014-10-27T11:35:00Z</cp:lastPrinted>
  <dcterms:created xsi:type="dcterms:W3CDTF">2014-10-27T11:04:00Z</dcterms:created>
  <dcterms:modified xsi:type="dcterms:W3CDTF">2017-10-17T12:08:00Z</dcterms:modified>
</cp:coreProperties>
</file>